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2E54A4" w14:textId="77777777" w:rsidR="00362EB0" w:rsidRDefault="00362EB0" w:rsidP="003914C3">
      <w:pPr>
        <w:pStyle w:val="StyleTitleCoverTimesNewRomanLeft025"/>
      </w:pPr>
    </w:p>
    <w:p w14:paraId="79720725" w14:textId="77777777" w:rsidR="00362EB0" w:rsidRDefault="00362EB0" w:rsidP="003914C3">
      <w:pPr>
        <w:pStyle w:val="StyleTitleCoverTimesNewRomanLeft025"/>
      </w:pPr>
    </w:p>
    <w:p w14:paraId="2689020A" w14:textId="40CD59C7" w:rsidR="00362EB0" w:rsidRPr="00D076C2" w:rsidRDefault="00362EB0" w:rsidP="003914C3">
      <w:pPr>
        <w:pStyle w:val="StyleTitleCoverTimesNewRomanLeft025"/>
      </w:pPr>
      <w:r w:rsidRPr="00D076C2">
        <w:t xml:space="preserve">Sample </w:t>
      </w:r>
      <w:r w:rsidR="009269B5">
        <w:t>Language</w:t>
      </w:r>
      <w:r w:rsidRPr="00D076C2">
        <w:t xml:space="preserve"> </w:t>
      </w:r>
    </w:p>
    <w:p w14:paraId="71200D2D" w14:textId="77777777" w:rsidR="00362EB0" w:rsidRPr="0019337F" w:rsidRDefault="00362EB0" w:rsidP="003914C3"/>
    <w:p w14:paraId="75A6657D" w14:textId="67F8B68C" w:rsidR="00362EB0" w:rsidRPr="00D076C2" w:rsidRDefault="00362EB0" w:rsidP="003914C3">
      <w:pPr>
        <w:pStyle w:val="StyleStyleTitleCoverCenturyGothic30ptNotBoldLeft025"/>
      </w:pPr>
      <w:r>
        <w:t>For</w:t>
      </w:r>
      <w:r w:rsidRPr="00D076C2">
        <w:t xml:space="preserve"> promoting your </w:t>
      </w:r>
      <w:r w:rsidR="00E177A4">
        <w:t>facility</w:t>
      </w:r>
      <w:r w:rsidR="00E177A4" w:rsidRPr="00D076C2">
        <w:t xml:space="preserve">’s </w:t>
      </w:r>
      <w:r>
        <w:t xml:space="preserve">participation in the </w:t>
      </w:r>
      <w:r w:rsidR="00892935" w:rsidRPr="00892935">
        <w:t>Reduce the Risk: PCI Bleed Campaign</w:t>
      </w:r>
      <w:r w:rsidR="00892935">
        <w:t xml:space="preserve"> </w:t>
      </w:r>
    </w:p>
    <w:p w14:paraId="0B906D37" w14:textId="77777777" w:rsidR="00362EB0" w:rsidRPr="0019337F" w:rsidRDefault="00362EB0" w:rsidP="003914C3">
      <w:pPr>
        <w:pStyle w:val="StyleStyleTitleCoverCenturyGothic30ptNotBoldLeft025"/>
      </w:pPr>
    </w:p>
    <w:p w14:paraId="3EBA93BF" w14:textId="77777777" w:rsidR="00362EB0" w:rsidRDefault="00362EB0" w:rsidP="003914C3"/>
    <w:p w14:paraId="16C2EC24" w14:textId="77777777" w:rsidR="00362EB0" w:rsidRDefault="00362EB0" w:rsidP="003914C3"/>
    <w:p w14:paraId="4EE9EE2E" w14:textId="77777777" w:rsidR="00362EB0" w:rsidRDefault="00362EB0" w:rsidP="003914C3"/>
    <w:p w14:paraId="7F633106" w14:textId="77777777" w:rsidR="00362EB0" w:rsidRDefault="00362EB0" w:rsidP="003914C3"/>
    <w:p w14:paraId="1B5CBCFA" w14:textId="77777777" w:rsidR="003914C3" w:rsidRDefault="003914C3" w:rsidP="003914C3"/>
    <w:p w14:paraId="4FCA77CB" w14:textId="77777777" w:rsidR="003914C3" w:rsidRDefault="003914C3" w:rsidP="003914C3"/>
    <w:p w14:paraId="256290B2" w14:textId="77777777" w:rsidR="003914C3" w:rsidRDefault="003914C3" w:rsidP="003914C3"/>
    <w:p w14:paraId="5155D05C" w14:textId="77777777" w:rsidR="00AA5109" w:rsidRDefault="00AA5109" w:rsidP="00F13ADA">
      <w:pPr>
        <w:jc w:val="right"/>
      </w:pPr>
    </w:p>
    <w:p w14:paraId="64272F23" w14:textId="77777777" w:rsidR="00F13ADA" w:rsidRDefault="00F13ADA" w:rsidP="003914C3"/>
    <w:p w14:paraId="4E484A20" w14:textId="77777777" w:rsidR="00F13ADA" w:rsidRDefault="00F13ADA" w:rsidP="003914C3"/>
    <w:p w14:paraId="4650837E" w14:textId="77777777" w:rsidR="00362EB0" w:rsidRDefault="00AA5109" w:rsidP="003914C3">
      <w:pPr>
        <w:jc w:val="right"/>
      </w:pPr>
      <w:r>
        <w:lastRenderedPageBreak/>
        <w:drawing>
          <wp:inline distT="0" distB="0" distL="0" distR="0" wp14:anchorId="3380892D" wp14:editId="651B431C">
            <wp:extent cx="2107130" cy="665007"/>
            <wp:effectExtent l="0" t="0" r="7620" b="190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CC_SIG_BLUE_950x300_jpg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8069" cy="6653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D158C2" w14:textId="77777777" w:rsidR="00AA5109" w:rsidRDefault="00AA5109" w:rsidP="003914C3"/>
    <w:p w14:paraId="153E8E9F" w14:textId="5C288ABF" w:rsidR="009269B5" w:rsidRDefault="009269B5" w:rsidP="009269B5">
      <w:pPr>
        <w:jc w:val="center"/>
        <w:rPr>
          <w:b/>
        </w:rPr>
      </w:pPr>
      <w:r w:rsidRPr="0040135F">
        <w:rPr>
          <w:b/>
        </w:rPr>
        <w:t>New ‘Reduce the Risk: PCI Bleed Quality Campaign’ Aims to Close Gaps in PCI Patient Care</w:t>
      </w:r>
    </w:p>
    <w:p w14:paraId="1A5FA93D" w14:textId="77777777" w:rsidR="009269B5" w:rsidRPr="0040135F" w:rsidRDefault="009269B5" w:rsidP="009269B5">
      <w:pPr>
        <w:jc w:val="center"/>
        <w:rPr>
          <w:color w:val="auto"/>
        </w:rPr>
      </w:pPr>
    </w:p>
    <w:p w14:paraId="1BF234B1" w14:textId="19FDD350" w:rsidR="009269B5" w:rsidRDefault="009269B5" w:rsidP="009269B5">
      <w:r>
        <w:t xml:space="preserve">Your </w:t>
      </w:r>
      <w:r w:rsidR="00BF447B">
        <w:t>facility</w:t>
      </w:r>
      <w:r>
        <w:t xml:space="preserve"> has joined the American College of Cardiology’s recently launched </w:t>
      </w:r>
      <w:hyperlink r:id="rId8" w:history="1">
        <w:r>
          <w:rPr>
            <w:rStyle w:val="Hyperlink"/>
          </w:rPr>
          <w:t>Reduce the Risk: PCI Bleed</w:t>
        </w:r>
      </w:hyperlink>
      <w:r>
        <w:t xml:space="preserve"> quality campaign to help </w:t>
      </w:r>
      <w:r w:rsidR="00BF447B">
        <w:t>facilitie</w:t>
      </w:r>
      <w:r>
        <w:t xml:space="preserve">s and clinicians minimize PCI-associated bleeding risks and encourage widespread adoption of evidence-based best practices. Leveraging the power of the </w:t>
      </w:r>
      <w:hyperlink r:id="rId9" w:tgtFrame="_blank" w:history="1">
        <w:r>
          <w:rPr>
            <w:rStyle w:val="Hyperlink"/>
          </w:rPr>
          <w:t>CathPCI Registry</w:t>
        </w:r>
      </w:hyperlink>
      <w:r w:rsidR="00BF447B">
        <w:rPr>
          <w:rStyle w:val="Hyperlink"/>
        </w:rPr>
        <w:t>®</w:t>
      </w:r>
      <w:r>
        <w:t xml:space="preserve">, Reduce the Risk: PCI Bleed offers the tools interventional cardiologists and members of the cath lab team need to anticipate, prepare and save lives. </w:t>
      </w:r>
    </w:p>
    <w:p w14:paraId="203498F8" w14:textId="77777777" w:rsidR="009269B5" w:rsidRDefault="009269B5" w:rsidP="009269B5"/>
    <w:p w14:paraId="35DC365B" w14:textId="2A7937BF" w:rsidR="009269B5" w:rsidRDefault="009269B5" w:rsidP="009269B5">
      <w:r>
        <w:t xml:space="preserve">The CathPCI Registry shows that </w:t>
      </w:r>
      <w:r w:rsidR="00BF447B">
        <w:t>the 50</w:t>
      </w:r>
      <w:r w:rsidR="00BF447B" w:rsidRPr="00FD4E0C">
        <w:rPr>
          <w:vertAlign w:val="superscript"/>
        </w:rPr>
        <w:t>th</w:t>
      </w:r>
      <w:r w:rsidR="00BF447B">
        <w:t xml:space="preserve"> percentile of facilities observe a 2.81</w:t>
      </w:r>
      <w:r w:rsidR="00FD4E0C">
        <w:t xml:space="preserve"> percent</w:t>
      </w:r>
      <w:r w:rsidR="00BF447B">
        <w:t xml:space="preserve"> rate in the</w:t>
      </w:r>
      <w:r>
        <w:t xml:space="preserve"> PCI in-hospital risk </w:t>
      </w:r>
      <w:r w:rsidR="00BF447B">
        <w:t>standardized bleeding measure</w:t>
      </w:r>
      <w:r>
        <w:t xml:space="preserve">. The variation </w:t>
      </w:r>
      <w:r w:rsidR="00BF447B">
        <w:t>between facilities in the 10</w:t>
      </w:r>
      <w:r w:rsidR="00BF447B" w:rsidRPr="00FD4E0C">
        <w:rPr>
          <w:vertAlign w:val="superscript"/>
        </w:rPr>
        <w:t>th</w:t>
      </w:r>
      <w:r w:rsidR="00BF447B">
        <w:t xml:space="preserve"> vs. 90</w:t>
      </w:r>
      <w:r w:rsidR="00BF447B" w:rsidRPr="00FD4E0C">
        <w:rPr>
          <w:vertAlign w:val="superscript"/>
        </w:rPr>
        <w:t>th</w:t>
      </w:r>
      <w:r w:rsidR="00BF447B">
        <w:t xml:space="preserve"> percentiles is large, from 4.83</w:t>
      </w:r>
      <w:r w:rsidR="00FD4E0C">
        <w:t xml:space="preserve"> percent</w:t>
      </w:r>
      <w:r w:rsidR="00BF447B">
        <w:t xml:space="preserve"> to 1.68</w:t>
      </w:r>
      <w:r w:rsidR="00FD4E0C">
        <w:t xml:space="preserve"> percent</w:t>
      </w:r>
      <w:r w:rsidR="00BF447B">
        <w:t xml:space="preserve">, respectively. </w:t>
      </w:r>
    </w:p>
    <w:p w14:paraId="6B93B10D" w14:textId="77777777" w:rsidR="009269B5" w:rsidRDefault="009269B5" w:rsidP="009269B5"/>
    <w:p w14:paraId="5C1E028B" w14:textId="4B800A60" w:rsidR="009269B5" w:rsidRDefault="009269B5" w:rsidP="009269B5">
      <w:r>
        <w:t>Proven bleed avoidance strategies could improve this wide variation</w:t>
      </w:r>
      <w:bookmarkStart w:id="0" w:name="_GoBack"/>
      <w:bookmarkEnd w:id="0"/>
      <w:r>
        <w:t xml:space="preserve"> and nationally lower the median rate of bleeding events significantly. Strategies such as assessing patient risk prior to procedure, choosing radial access over femoral access in high-risk patients, favoring bivalirudin over heparin in high-risk patients, and using vascular closure devices would drive down the common adverse events and ultimately lead to decreased morbidity and mortality among patients.</w:t>
      </w:r>
    </w:p>
    <w:p w14:paraId="3292ADDF" w14:textId="77777777" w:rsidR="009269B5" w:rsidRDefault="009269B5" w:rsidP="009269B5"/>
    <w:p w14:paraId="06548543" w14:textId="075C6BEA" w:rsidR="009269B5" w:rsidRDefault="009269B5" w:rsidP="009269B5">
      <w:pPr>
        <w:shd w:val="clear" w:color="auto" w:fill="FFFFFF"/>
      </w:pPr>
      <w:r w:rsidRPr="0040135F">
        <w:rPr>
          <w:rStyle w:val="Strong"/>
          <w:b w:val="0"/>
        </w:rPr>
        <w:t>Reduce the Risk: PCI Bleed</w:t>
      </w:r>
      <w:r>
        <w:t xml:space="preserve"> builds on the ACC’s proven track record in helping </w:t>
      </w:r>
      <w:r w:rsidR="00BF447B">
        <w:t xml:space="preserve">facilities </w:t>
      </w:r>
      <w:r>
        <w:t xml:space="preserve">and cardiovascular professionals take advantage of key strategies to close gaps in guideline-recommended care. The campaign provides free access to: </w:t>
      </w:r>
    </w:p>
    <w:p w14:paraId="667099FC" w14:textId="77777777" w:rsidR="009269B5" w:rsidRDefault="009269B5" w:rsidP="009269B5">
      <w:pPr>
        <w:shd w:val="clear" w:color="auto" w:fill="FFFFFF"/>
      </w:pPr>
    </w:p>
    <w:p w14:paraId="73890AFE" w14:textId="77777777" w:rsidR="009269B5" w:rsidRDefault="009269B5" w:rsidP="009269B5">
      <w:pPr>
        <w:numPr>
          <w:ilvl w:val="0"/>
          <w:numId w:val="2"/>
        </w:numPr>
        <w:shd w:val="clear" w:color="auto" w:fill="FFFFFF"/>
      </w:pPr>
      <w:r>
        <w:t>A learning network and tools to support quality improvement goals</w:t>
      </w:r>
    </w:p>
    <w:p w14:paraId="6B77A031" w14:textId="77777777" w:rsidR="009269B5" w:rsidRDefault="009269B5" w:rsidP="009269B5">
      <w:pPr>
        <w:numPr>
          <w:ilvl w:val="0"/>
          <w:numId w:val="2"/>
        </w:numPr>
        <w:shd w:val="clear" w:color="auto" w:fill="FFFFFF"/>
      </w:pPr>
      <w:r>
        <w:t>A facility-assessment to pinpoint areas for improvement</w:t>
      </w:r>
    </w:p>
    <w:p w14:paraId="6749639F" w14:textId="77777777" w:rsidR="009269B5" w:rsidRDefault="009269B5" w:rsidP="009269B5">
      <w:pPr>
        <w:numPr>
          <w:ilvl w:val="0"/>
          <w:numId w:val="2"/>
        </w:numPr>
        <w:shd w:val="clear" w:color="auto" w:fill="FFFFFF"/>
      </w:pPr>
      <w:r>
        <w:t>A customized data dashboard to track and benchmark your progress</w:t>
      </w:r>
    </w:p>
    <w:p w14:paraId="057FB34A" w14:textId="7FA49518" w:rsidR="009269B5" w:rsidRDefault="009269B5" w:rsidP="009269B5">
      <w:pPr>
        <w:numPr>
          <w:ilvl w:val="0"/>
          <w:numId w:val="2"/>
        </w:numPr>
        <w:shd w:val="clear" w:color="auto" w:fill="FFFFFF"/>
      </w:pPr>
      <w:r>
        <w:t xml:space="preserve">A community of national experts and leading </w:t>
      </w:r>
      <w:r w:rsidR="00BF447B">
        <w:t xml:space="preserve">facilities </w:t>
      </w:r>
      <w:r>
        <w:t>and institutions</w:t>
      </w:r>
    </w:p>
    <w:p w14:paraId="0F0DE046" w14:textId="77777777" w:rsidR="009269B5" w:rsidRDefault="009269B5" w:rsidP="009269B5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 w:cs="Calibri"/>
          <w:color w:val="333333"/>
          <w:sz w:val="22"/>
          <w:szCs w:val="22"/>
        </w:rPr>
      </w:pPr>
    </w:p>
    <w:p w14:paraId="22618E5C" w14:textId="77777777" w:rsidR="009269B5" w:rsidRDefault="009269B5" w:rsidP="009269B5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In addition, participation in this program counts as a </w:t>
      </w:r>
      <w:r>
        <w:rPr>
          <w:rStyle w:val="Strong"/>
          <w:rFonts w:ascii="Calibri" w:hAnsi="Calibri" w:cs="Calibri"/>
          <w:b w:val="0"/>
          <w:bCs w:val="0"/>
          <w:sz w:val="22"/>
          <w:szCs w:val="22"/>
        </w:rPr>
        <w:t>high-weight Improvement Activity</w:t>
      </w:r>
      <w:r>
        <w:rPr>
          <w:rFonts w:ascii="Calibri" w:hAnsi="Calibri" w:cs="Calibri"/>
          <w:sz w:val="22"/>
          <w:szCs w:val="22"/>
        </w:rPr>
        <w:t> for physicians and advanced practice practitioners participating in the</w:t>
      </w:r>
      <w:r>
        <w:rPr>
          <w:rFonts w:ascii="Calibri" w:hAnsi="Calibri" w:cs="Calibri"/>
          <w:color w:val="333333"/>
          <w:sz w:val="22"/>
          <w:szCs w:val="22"/>
        </w:rPr>
        <w:t> </w:t>
      </w:r>
      <w:hyperlink r:id="rId10" w:tgtFrame="_blank" w:history="1">
        <w:r>
          <w:rPr>
            <w:rStyle w:val="Hyperlink"/>
            <w:rFonts w:ascii="Calibri" w:hAnsi="Calibri" w:cs="Calibri"/>
            <w:color w:val="0088AA"/>
            <w:sz w:val="22"/>
            <w:szCs w:val="22"/>
          </w:rPr>
          <w:t>Merit-Based Incentive Payment System (MIPS)</w:t>
        </w:r>
      </w:hyperlink>
      <w:r>
        <w:rPr>
          <w:rFonts w:ascii="Calibri" w:hAnsi="Calibri" w:cs="Calibri"/>
          <w:color w:val="333333"/>
          <w:sz w:val="22"/>
          <w:szCs w:val="22"/>
        </w:rPr>
        <w:t xml:space="preserve">, </w:t>
      </w:r>
      <w:r>
        <w:rPr>
          <w:rFonts w:ascii="Calibri" w:hAnsi="Calibri" w:cs="Calibri"/>
          <w:sz w:val="22"/>
          <w:szCs w:val="22"/>
        </w:rPr>
        <w:t>part of the CMS Quality Payment Program.</w:t>
      </w:r>
    </w:p>
    <w:p w14:paraId="139F2A5A" w14:textId="77777777" w:rsidR="009269B5" w:rsidRDefault="009269B5" w:rsidP="009269B5">
      <w:r>
        <w:rPr>
          <w:rFonts w:ascii="Calibri" w:hAnsi="Calibri" w:cs="Calibri"/>
        </w:rPr>
        <w:br/>
      </w:r>
      <w:r>
        <w:rPr>
          <w:rFonts w:ascii="Calibri" w:hAnsi="Calibri" w:cs="Calibri"/>
          <w:sz w:val="22"/>
          <w:szCs w:val="22"/>
        </w:rPr>
        <w:t xml:space="preserve">More information is available at </w:t>
      </w:r>
      <w:hyperlink r:id="rId11" w:history="1">
        <w:r w:rsidRPr="0040135F">
          <w:rPr>
            <w:rStyle w:val="Hyperlink"/>
            <w:rFonts w:ascii="Calibri" w:hAnsi="Calibri" w:cs="Calibri"/>
            <w:bCs w:val="0"/>
            <w:iCs/>
            <w:sz w:val="22"/>
            <w:szCs w:val="22"/>
          </w:rPr>
          <w:t>CVQuality.ACC.org/ReduceRisk</w:t>
        </w:r>
      </w:hyperlink>
      <w:r w:rsidRPr="0040135F">
        <w:rPr>
          <w:rFonts w:ascii="Calibri" w:hAnsi="Calibri" w:cs="Calibri"/>
          <w:bCs w:val="0"/>
          <w:iCs/>
        </w:rPr>
        <w:t>.</w:t>
      </w:r>
    </w:p>
    <w:p w14:paraId="3D933D01" w14:textId="77777777" w:rsidR="00362EB0" w:rsidRPr="008E2D69" w:rsidRDefault="00362EB0" w:rsidP="003914C3"/>
    <w:p w14:paraId="54981D36" w14:textId="77777777" w:rsidR="00362EB0" w:rsidRPr="00AF044D" w:rsidRDefault="00362EB0" w:rsidP="003914C3"/>
    <w:p w14:paraId="6D821C32" w14:textId="77777777" w:rsidR="00D25F16" w:rsidRDefault="00FD4E0C" w:rsidP="003914C3"/>
    <w:sectPr w:rsidR="00D25F16" w:rsidSect="004E2613">
      <w:footerReference w:type="default" r:id="rId12"/>
      <w:pgSz w:w="12240" w:h="15840"/>
      <w:pgMar w:top="1440" w:right="1440" w:bottom="1440" w:left="1440" w:header="0" w:footer="1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44C010" w14:textId="77777777" w:rsidR="00F70B37" w:rsidRDefault="00F70B37" w:rsidP="003914C3">
      <w:r>
        <w:separator/>
      </w:r>
    </w:p>
    <w:p w14:paraId="77890245" w14:textId="77777777" w:rsidR="00F70B37" w:rsidRDefault="00F70B37" w:rsidP="003914C3"/>
    <w:p w14:paraId="5E2916D0" w14:textId="77777777" w:rsidR="00F70B37" w:rsidRDefault="00F70B37" w:rsidP="003914C3"/>
    <w:p w14:paraId="695D0C3E" w14:textId="77777777" w:rsidR="00F70B37" w:rsidRDefault="00F70B37" w:rsidP="003914C3"/>
    <w:p w14:paraId="31AB88D5" w14:textId="77777777" w:rsidR="00F70B37" w:rsidRDefault="00F70B37" w:rsidP="003914C3"/>
    <w:p w14:paraId="1CAD12D8" w14:textId="77777777" w:rsidR="00F70B37" w:rsidRDefault="00F70B37"/>
  </w:endnote>
  <w:endnote w:type="continuationSeparator" w:id="0">
    <w:p w14:paraId="6825CC54" w14:textId="77777777" w:rsidR="00F70B37" w:rsidRDefault="00F70B37" w:rsidP="003914C3">
      <w:r>
        <w:continuationSeparator/>
      </w:r>
    </w:p>
    <w:p w14:paraId="0D1C9653" w14:textId="77777777" w:rsidR="00F70B37" w:rsidRDefault="00F70B37" w:rsidP="003914C3"/>
    <w:p w14:paraId="1CBF9F88" w14:textId="77777777" w:rsidR="00F70B37" w:rsidRDefault="00F70B37" w:rsidP="003914C3"/>
    <w:p w14:paraId="7E57F2C7" w14:textId="77777777" w:rsidR="00F70B37" w:rsidRDefault="00F70B37" w:rsidP="003914C3"/>
    <w:p w14:paraId="0F09BC59" w14:textId="77777777" w:rsidR="00F70B37" w:rsidRDefault="00F70B37" w:rsidP="003914C3"/>
    <w:p w14:paraId="038B6625" w14:textId="77777777" w:rsidR="00F70B37" w:rsidRDefault="00F70B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BEB90" w14:textId="77777777" w:rsidR="003914C3" w:rsidRDefault="003914C3"/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962"/>
      <w:gridCol w:w="8398"/>
    </w:tblGrid>
    <w:tr w:rsidR="003914C3" w14:paraId="012B2311" w14:textId="77777777" w:rsidTr="00B93EC2">
      <w:tc>
        <w:tcPr>
          <w:tcW w:w="993" w:type="dxa"/>
        </w:tcPr>
        <w:p w14:paraId="7F88ECD8" w14:textId="77777777" w:rsidR="003914C3" w:rsidRDefault="003914C3" w:rsidP="00B93EC2">
          <w:pPr>
            <w:pStyle w:val="Footer"/>
            <w:rPr>
              <w:b/>
              <w:color w:val="4F81BD" w:themeColor="accent1"/>
              <w:sz w:val="32"/>
              <w:szCs w:val="32"/>
            </w:rPr>
          </w:pPr>
          <w:r>
            <w:rPr>
              <w:noProof w:val="0"/>
              <w:color w:val="auto"/>
              <w:sz w:val="22"/>
              <w:szCs w:val="2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  <w:fldChar w:fldCharType="begin"/>
          </w:r>
          <w:r>
            <w:rPr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  <w:instrText xml:space="preserve"> PAGE   \* MERGEFORMAT </w:instrText>
          </w:r>
          <w:r>
            <w:rPr>
              <w:noProof w:val="0"/>
              <w:color w:val="auto"/>
              <w:sz w:val="22"/>
              <w:szCs w:val="2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  <w:fldChar w:fldCharType="separate"/>
          </w:r>
          <w:r w:rsidR="00BB7E01" w:rsidRPr="00BB7E01">
            <w:rPr>
              <w:b/>
              <w:color w:val="4F81BD" w:themeColor="accent1"/>
              <w:sz w:val="32"/>
              <w:szCs w:val="3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  <w:t>3</w:t>
          </w:r>
          <w:r>
            <w:rPr>
              <w:b/>
              <w:color w:val="4F81BD" w:themeColor="accent1"/>
              <w:sz w:val="32"/>
              <w:szCs w:val="3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  <w:fldChar w:fldCharType="end"/>
          </w:r>
        </w:p>
      </w:tc>
      <w:tc>
        <w:tcPr>
          <w:tcW w:w="8583" w:type="dxa"/>
        </w:tcPr>
        <w:p w14:paraId="42F30C49" w14:textId="77777777" w:rsidR="003914C3" w:rsidRDefault="003914C3" w:rsidP="00B93EC2">
          <w:pPr>
            <w:pStyle w:val="Footer"/>
          </w:pPr>
          <w:r>
            <w:tab/>
          </w:r>
          <w:r>
            <w:tab/>
          </w:r>
        </w:p>
      </w:tc>
    </w:tr>
  </w:tbl>
  <w:p w14:paraId="6EECEEC8" w14:textId="77777777" w:rsidR="0046095D" w:rsidRDefault="0046095D" w:rsidP="003914C3"/>
  <w:p w14:paraId="129163EC" w14:textId="77777777" w:rsidR="0046095D" w:rsidRDefault="0046095D" w:rsidP="003914C3"/>
  <w:p w14:paraId="6EB31E16" w14:textId="77777777" w:rsidR="0046095D" w:rsidRDefault="0046095D" w:rsidP="003914C3"/>
  <w:p w14:paraId="68962B86" w14:textId="77777777" w:rsidR="00EB7844" w:rsidRDefault="00EB784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EA791D" w14:textId="77777777" w:rsidR="00F70B37" w:rsidRDefault="00F70B37" w:rsidP="003914C3">
      <w:r>
        <w:separator/>
      </w:r>
    </w:p>
    <w:p w14:paraId="7B35359B" w14:textId="77777777" w:rsidR="00F70B37" w:rsidRDefault="00F70B37" w:rsidP="003914C3"/>
    <w:p w14:paraId="435686FA" w14:textId="77777777" w:rsidR="00F70B37" w:rsidRDefault="00F70B37" w:rsidP="003914C3"/>
    <w:p w14:paraId="6984EE79" w14:textId="77777777" w:rsidR="00F70B37" w:rsidRDefault="00F70B37" w:rsidP="003914C3"/>
    <w:p w14:paraId="2BBD8701" w14:textId="77777777" w:rsidR="00F70B37" w:rsidRDefault="00F70B37" w:rsidP="003914C3"/>
    <w:p w14:paraId="20F0EC2F" w14:textId="77777777" w:rsidR="00F70B37" w:rsidRDefault="00F70B37"/>
  </w:footnote>
  <w:footnote w:type="continuationSeparator" w:id="0">
    <w:p w14:paraId="32487DF8" w14:textId="77777777" w:rsidR="00F70B37" w:rsidRDefault="00F70B37" w:rsidP="003914C3">
      <w:r>
        <w:continuationSeparator/>
      </w:r>
    </w:p>
    <w:p w14:paraId="22155FAC" w14:textId="77777777" w:rsidR="00F70B37" w:rsidRDefault="00F70B37" w:rsidP="003914C3"/>
    <w:p w14:paraId="29041563" w14:textId="77777777" w:rsidR="00F70B37" w:rsidRDefault="00F70B37" w:rsidP="003914C3"/>
    <w:p w14:paraId="1CB550E2" w14:textId="77777777" w:rsidR="00F70B37" w:rsidRDefault="00F70B37" w:rsidP="003914C3"/>
    <w:p w14:paraId="72ECA060" w14:textId="77777777" w:rsidR="00F70B37" w:rsidRDefault="00F70B37" w:rsidP="003914C3"/>
    <w:p w14:paraId="7AD17E81" w14:textId="77777777" w:rsidR="00F70B37" w:rsidRDefault="00F70B3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B40EC1"/>
    <w:multiLevelType w:val="hybridMultilevel"/>
    <w:tmpl w:val="52C00504"/>
    <w:lvl w:ilvl="0" w:tplc="04090001">
      <w:start w:val="1"/>
      <w:numFmt w:val="bullet"/>
      <w:lvlText w:val=""/>
      <w:lvlJc w:val="left"/>
      <w:pPr>
        <w:ind w:left="79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1" w15:restartNumberingAfterBreak="0">
    <w:nsid w:val="6F027029"/>
    <w:multiLevelType w:val="hybridMultilevel"/>
    <w:tmpl w:val="59B86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EB0"/>
    <w:rsid w:val="0003635F"/>
    <w:rsid w:val="000A0D00"/>
    <w:rsid w:val="00140725"/>
    <w:rsid w:val="0015180C"/>
    <w:rsid w:val="001715FC"/>
    <w:rsid w:val="002341BE"/>
    <w:rsid w:val="00362EB0"/>
    <w:rsid w:val="003914C3"/>
    <w:rsid w:val="004515EF"/>
    <w:rsid w:val="0046095D"/>
    <w:rsid w:val="00485A29"/>
    <w:rsid w:val="004E2613"/>
    <w:rsid w:val="00564AA7"/>
    <w:rsid w:val="006505CB"/>
    <w:rsid w:val="006E031E"/>
    <w:rsid w:val="006E6C72"/>
    <w:rsid w:val="00726F65"/>
    <w:rsid w:val="00744C17"/>
    <w:rsid w:val="007621AC"/>
    <w:rsid w:val="007B7E32"/>
    <w:rsid w:val="008001F8"/>
    <w:rsid w:val="0082535A"/>
    <w:rsid w:val="00892935"/>
    <w:rsid w:val="00897EEF"/>
    <w:rsid w:val="00912A39"/>
    <w:rsid w:val="00913A86"/>
    <w:rsid w:val="009269B5"/>
    <w:rsid w:val="00974F81"/>
    <w:rsid w:val="00982B4E"/>
    <w:rsid w:val="009C270F"/>
    <w:rsid w:val="00A91086"/>
    <w:rsid w:val="00AA5109"/>
    <w:rsid w:val="00AE358E"/>
    <w:rsid w:val="00AF4213"/>
    <w:rsid w:val="00BB7E01"/>
    <w:rsid w:val="00BF447B"/>
    <w:rsid w:val="00C14FFE"/>
    <w:rsid w:val="00C35BFE"/>
    <w:rsid w:val="00C53F12"/>
    <w:rsid w:val="00C55D56"/>
    <w:rsid w:val="00CA4617"/>
    <w:rsid w:val="00CA5027"/>
    <w:rsid w:val="00D1455E"/>
    <w:rsid w:val="00D40ED8"/>
    <w:rsid w:val="00DF6D37"/>
    <w:rsid w:val="00E177A4"/>
    <w:rsid w:val="00E354E1"/>
    <w:rsid w:val="00E601CF"/>
    <w:rsid w:val="00EA0552"/>
    <w:rsid w:val="00EB7844"/>
    <w:rsid w:val="00EE50E7"/>
    <w:rsid w:val="00F13ADA"/>
    <w:rsid w:val="00F70B37"/>
    <w:rsid w:val="00FD4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39132829"/>
  <w15:docId w15:val="{86E8A28F-FEF8-404F-BCEE-20DC8A4F2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utoRedefine/>
    <w:qFormat/>
    <w:rsid w:val="003914C3"/>
    <w:pPr>
      <w:spacing w:after="0" w:line="240" w:lineRule="auto"/>
    </w:pPr>
    <w:rPr>
      <w:rFonts w:eastAsia="Times New Roman" w:cstheme="minorHAnsi"/>
      <w:bCs/>
      <w:noProof/>
      <w:color w:val="000000" w:themeColor="text1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62EB0"/>
    <w:rPr>
      <w:color w:val="0000FF"/>
      <w:u w:val="single"/>
    </w:rPr>
  </w:style>
  <w:style w:type="paragraph" w:customStyle="1" w:styleId="StyleTitleCoverTimesNewRomanLeft025">
    <w:name w:val="Style Title Cover + Times New Roman Left:  0.25&quot;"/>
    <w:basedOn w:val="Normal"/>
    <w:autoRedefine/>
    <w:rsid w:val="00362EB0"/>
    <w:pPr>
      <w:keepNext/>
      <w:keepLines/>
      <w:tabs>
        <w:tab w:val="left" w:pos="0"/>
      </w:tabs>
      <w:spacing w:before="240" w:after="500" w:line="640" w:lineRule="exact"/>
      <w:ind w:left="360"/>
    </w:pPr>
    <w:rPr>
      <w:rFonts w:ascii="Century Gothic" w:hAnsi="Century Gothic"/>
      <w:bCs w:val="0"/>
      <w:color w:val="002060"/>
      <w:spacing w:val="-48"/>
      <w:kern w:val="28"/>
      <w:sz w:val="64"/>
      <w:szCs w:val="20"/>
    </w:rPr>
  </w:style>
  <w:style w:type="paragraph" w:customStyle="1" w:styleId="StyleStyleTitleCoverCenturyGothic30ptNotBoldLeft025">
    <w:name w:val="Style Style Title Cover + Century Gothic 30 pt Not Bold Left:  0.25..."/>
    <w:basedOn w:val="Normal"/>
    <w:autoRedefine/>
    <w:rsid w:val="00362EB0"/>
    <w:pPr>
      <w:keepNext/>
      <w:keepLines/>
      <w:pBdr>
        <w:top w:val="single" w:sz="48" w:space="31" w:color="auto"/>
      </w:pBdr>
      <w:tabs>
        <w:tab w:val="left" w:pos="0"/>
      </w:tabs>
      <w:spacing w:before="240" w:after="500" w:line="640" w:lineRule="exact"/>
      <w:ind w:left="360"/>
    </w:pPr>
    <w:rPr>
      <w:rFonts w:ascii="Century Gothic" w:hAnsi="Century Gothic"/>
      <w:spacing w:val="-48"/>
      <w:kern w:val="28"/>
      <w:sz w:val="56"/>
      <w:szCs w:val="20"/>
    </w:rPr>
  </w:style>
  <w:style w:type="paragraph" w:customStyle="1" w:styleId="Subtitles">
    <w:name w:val="Sub titles"/>
    <w:basedOn w:val="Normal"/>
    <w:autoRedefine/>
    <w:rsid w:val="00362EB0"/>
    <w:pPr>
      <w:shd w:val="clear" w:color="auto" w:fill="D9D9D9"/>
      <w:spacing w:after="240"/>
    </w:pPr>
    <w:rPr>
      <w:b/>
      <w:sz w:val="28"/>
    </w:rPr>
  </w:style>
  <w:style w:type="paragraph" w:styleId="ListParagraph">
    <w:name w:val="List Paragraph"/>
    <w:basedOn w:val="Normal"/>
    <w:uiPriority w:val="34"/>
    <w:qFormat/>
    <w:rsid w:val="00362EB0"/>
    <w:pPr>
      <w:ind w:left="720"/>
      <w:contextualSpacing/>
    </w:pPr>
    <w:rPr>
      <w:rFonts w:ascii="Times New Roman" w:eastAsia="MS Mincho" w:hAnsi="Times New Roman"/>
      <w:noProof w:val="0"/>
    </w:rPr>
  </w:style>
  <w:style w:type="paragraph" w:styleId="Footer">
    <w:name w:val="footer"/>
    <w:basedOn w:val="Normal"/>
    <w:link w:val="FooterChar"/>
    <w:uiPriority w:val="99"/>
    <w:unhideWhenUsed/>
    <w:rsid w:val="00362EB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62EB0"/>
    <w:rPr>
      <w:rFonts w:ascii="Calibri" w:eastAsia="Times New Roman" w:hAnsi="Calibri" w:cs="Times New Roman"/>
      <w:noProof/>
      <w:sz w:val="24"/>
      <w:szCs w:val="24"/>
    </w:rPr>
  </w:style>
  <w:style w:type="paragraph" w:styleId="NoSpacing">
    <w:name w:val="No Spacing"/>
    <w:basedOn w:val="Normal"/>
    <w:uiPriority w:val="1"/>
    <w:qFormat/>
    <w:rsid w:val="00362EB0"/>
    <w:rPr>
      <w:rFonts w:eastAsiaTheme="minorHAnsi" w:cs="Calibri"/>
      <w:noProof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2EB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2EB0"/>
    <w:rPr>
      <w:rFonts w:ascii="Tahoma" w:eastAsia="Times New Roman" w:hAnsi="Tahoma" w:cs="Tahoma"/>
      <w:noProof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62EB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62EB0"/>
    <w:rPr>
      <w:rFonts w:ascii="Calibri" w:eastAsia="Times New Roman" w:hAnsi="Calibri" w:cs="Times New Roman"/>
      <w:noProof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D1455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1455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1455E"/>
    <w:rPr>
      <w:rFonts w:ascii="Calibri" w:eastAsia="Times New Roman" w:hAnsi="Calibri" w:cs="Times New Roman"/>
      <w:noProof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455E"/>
    <w:rPr>
      <w:b/>
      <w:bCs w:val="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455E"/>
    <w:rPr>
      <w:rFonts w:ascii="Calibri" w:eastAsia="Times New Roman" w:hAnsi="Calibri" w:cs="Times New Roman"/>
      <w:b/>
      <w:bCs/>
      <w:noProof/>
      <w:sz w:val="20"/>
      <w:szCs w:val="20"/>
    </w:rPr>
  </w:style>
  <w:style w:type="character" w:styleId="Strong">
    <w:name w:val="Strong"/>
    <w:basedOn w:val="DefaultParagraphFont"/>
    <w:uiPriority w:val="22"/>
    <w:qFormat/>
    <w:rsid w:val="009269B5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9269B5"/>
    <w:pPr>
      <w:spacing w:before="100" w:beforeAutospacing="1" w:after="100" w:afterAutospacing="1"/>
    </w:pPr>
    <w:rPr>
      <w:rFonts w:ascii="Times New Roman" w:eastAsiaTheme="minorHAnsi" w:hAnsi="Times New Roman" w:cs="Times New Roman"/>
      <w:bCs w:val="0"/>
      <w:noProof w:val="0"/>
      <w:color w:val="auto"/>
    </w:rPr>
  </w:style>
  <w:style w:type="character" w:styleId="FollowedHyperlink">
    <w:name w:val="FollowedHyperlink"/>
    <w:basedOn w:val="DefaultParagraphFont"/>
    <w:uiPriority w:val="99"/>
    <w:semiHidden/>
    <w:unhideWhenUsed/>
    <w:rsid w:val="009269B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vquality.acc.org/initiatives/reduce-the-risk-pci-bleed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cvquality.acc.org/initiatives/reduce-the-risk-pci-bleed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cvquality.acc.org/NCDR-Home/quality-payment-program/acc-mips-improvement-activitie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cvquality.acc.org/NCDR-Home/registries/hospital-registries/cathpci-registry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393</Words>
  <Characters>2244</Characters>
  <Application>Microsoft Office Word</Application>
  <DocSecurity>4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 Kaylor</dc:creator>
  <cp:lastModifiedBy>Nicole Napoli</cp:lastModifiedBy>
  <cp:revision>2</cp:revision>
  <dcterms:created xsi:type="dcterms:W3CDTF">2018-09-21T16:37:00Z</dcterms:created>
  <dcterms:modified xsi:type="dcterms:W3CDTF">2018-09-21T16:37:00Z</dcterms:modified>
</cp:coreProperties>
</file>